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707"/>
        <w:tblOverlap w:val="never"/>
        <w:tblW w:w="13628" w:type="dxa"/>
        <w:tblLayout w:type="fixed"/>
        <w:tblLook w:val="01E0" w:firstRow="1" w:lastRow="1" w:firstColumn="1" w:lastColumn="1" w:noHBand="0" w:noVBand="0"/>
      </w:tblPr>
      <w:tblGrid>
        <w:gridCol w:w="1368"/>
        <w:gridCol w:w="4320"/>
        <w:gridCol w:w="3960"/>
        <w:gridCol w:w="3980"/>
      </w:tblGrid>
      <w:tr w:rsidR="00456239" w14:paraId="04C2151F" w14:textId="77777777" w:rsidTr="00917304">
        <w:trPr>
          <w:trHeight w:val="1479"/>
        </w:trPr>
        <w:tc>
          <w:tcPr>
            <w:tcW w:w="1368" w:type="dxa"/>
          </w:tcPr>
          <w:p w14:paraId="019FCDC8" w14:textId="77777777" w:rsidR="00E17F44" w:rsidRDefault="00E17F44" w:rsidP="00480610"/>
        </w:tc>
        <w:tc>
          <w:tcPr>
            <w:tcW w:w="4320" w:type="dxa"/>
          </w:tcPr>
          <w:p w14:paraId="6AA631DE" w14:textId="77777777" w:rsidR="00E17F44" w:rsidRPr="00917304" w:rsidRDefault="001340BD" w:rsidP="00480610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Style w:val="A0"/>
                <w:b/>
                <w:bCs/>
                <w:sz w:val="18"/>
                <w:szCs w:val="18"/>
              </w:rPr>
              <w:t>INTERPRETATION OF SOURCES</w:t>
            </w:r>
          </w:p>
          <w:p w14:paraId="04D4050B" w14:textId="77777777" w:rsidR="00480610" w:rsidRPr="00917304" w:rsidRDefault="00480610" w:rsidP="00480610">
            <w:pPr>
              <w:pStyle w:val="Pa19"/>
              <w:rPr>
                <w:rFonts w:cs="Times LT Std"/>
                <w:color w:val="000000"/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 xml:space="preserve">How effectively the student </w:t>
            </w:r>
          </w:p>
          <w:p w14:paraId="54D22B72" w14:textId="77777777" w:rsidR="00480610" w:rsidRPr="00917304" w:rsidRDefault="00480610" w:rsidP="00480610">
            <w:pPr>
              <w:pStyle w:val="Pa20"/>
              <w:ind w:left="180" w:hanging="180"/>
              <w:rPr>
                <w:rFonts w:cs="Times LT Std"/>
                <w:color w:val="000000"/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>• interprets and explains each source to identify an ideological perspective(s)</w:t>
            </w:r>
            <w:r w:rsidR="00EF6560">
              <w:rPr>
                <w:rStyle w:val="A0"/>
                <w:sz w:val="18"/>
                <w:szCs w:val="18"/>
              </w:rPr>
              <w:t>*</w:t>
            </w:r>
          </w:p>
          <w:p w14:paraId="1DD993F3" w14:textId="77777777" w:rsidR="00480610" w:rsidRPr="00917304" w:rsidRDefault="00480610" w:rsidP="00480610">
            <w:pPr>
              <w:pStyle w:val="Pa20"/>
              <w:ind w:left="180" w:hanging="180"/>
              <w:rPr>
                <w:rFonts w:cs="Times LT Std"/>
                <w:color w:val="000000"/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 xml:space="preserve">• links the principles of </w:t>
            </w:r>
            <w:r w:rsidR="00917304">
              <w:rPr>
                <w:rStyle w:val="A0"/>
                <w:sz w:val="18"/>
                <w:szCs w:val="18"/>
              </w:rPr>
              <w:t xml:space="preserve">globalization, nationalism or </w:t>
            </w:r>
            <w:r w:rsidRPr="00917304">
              <w:rPr>
                <w:rStyle w:val="A0"/>
                <w:sz w:val="18"/>
                <w:szCs w:val="18"/>
              </w:rPr>
              <w:t>liberalism and each source</w:t>
            </w:r>
          </w:p>
          <w:p w14:paraId="3F0D9B75" w14:textId="77777777" w:rsidR="00E17F44" w:rsidRDefault="00480610" w:rsidP="00480610">
            <w:pPr>
              <w:rPr>
                <w:rStyle w:val="A0"/>
                <w:sz w:val="18"/>
                <w:szCs w:val="18"/>
              </w:rPr>
            </w:pPr>
            <w:r w:rsidRPr="00917304">
              <w:rPr>
                <w:rStyle w:val="A0"/>
                <w:b/>
                <w:bCs/>
                <w:sz w:val="18"/>
                <w:szCs w:val="18"/>
              </w:rPr>
              <w:t>Note</w:t>
            </w:r>
            <w:r w:rsidRPr="00917304">
              <w:rPr>
                <w:rStyle w:val="A0"/>
                <w:sz w:val="18"/>
                <w:szCs w:val="18"/>
              </w:rPr>
              <w:t xml:space="preserve">: Students are expected to address </w:t>
            </w:r>
            <w:r w:rsidRPr="00917304">
              <w:rPr>
                <w:rStyle w:val="A0"/>
                <w:b/>
                <w:bCs/>
                <w:sz w:val="18"/>
                <w:szCs w:val="18"/>
              </w:rPr>
              <w:t xml:space="preserve">all </w:t>
            </w:r>
            <w:r w:rsidRPr="00917304">
              <w:rPr>
                <w:rStyle w:val="A0"/>
                <w:sz w:val="18"/>
                <w:szCs w:val="18"/>
              </w:rPr>
              <w:t>three sources. Students may present their interpretations and links to liberalism in either a holistic or linear fashion.</w:t>
            </w:r>
          </w:p>
          <w:p w14:paraId="0811AA9A" w14:textId="77777777" w:rsidR="00EF6560" w:rsidRPr="00917304" w:rsidRDefault="00EF6560" w:rsidP="00480610">
            <w:pPr>
              <w:rPr>
                <w:sz w:val="18"/>
                <w:szCs w:val="18"/>
              </w:rPr>
            </w:pPr>
            <w:r>
              <w:rPr>
                <w:rStyle w:val="A0"/>
                <w:sz w:val="18"/>
                <w:szCs w:val="18"/>
              </w:rPr>
              <w:t>*perspectives of globalization, nationalism or liberalism</w:t>
            </w:r>
          </w:p>
        </w:tc>
        <w:tc>
          <w:tcPr>
            <w:tcW w:w="3960" w:type="dxa"/>
          </w:tcPr>
          <w:p w14:paraId="28CA9A48" w14:textId="77777777" w:rsidR="00EF6560" w:rsidRDefault="00480610" w:rsidP="00480610">
            <w:pPr>
              <w:pStyle w:val="Default"/>
              <w:rPr>
                <w:rStyle w:val="A0"/>
                <w:b/>
                <w:bCs/>
                <w:sz w:val="18"/>
                <w:szCs w:val="18"/>
              </w:rPr>
            </w:pPr>
            <w:r w:rsidRPr="00917304">
              <w:rPr>
                <w:rStyle w:val="A0"/>
                <w:b/>
                <w:bCs/>
                <w:sz w:val="18"/>
                <w:szCs w:val="18"/>
              </w:rPr>
              <w:t xml:space="preserve">IDENTIFICATION OF RELATIONSHIPS </w:t>
            </w:r>
          </w:p>
          <w:p w14:paraId="7F8D88CE" w14:textId="77777777" w:rsidR="00480610" w:rsidRPr="00917304" w:rsidRDefault="00480610" w:rsidP="00480610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  <w:p w14:paraId="73C64011" w14:textId="77777777" w:rsidR="00480610" w:rsidRPr="00917304" w:rsidRDefault="00480610" w:rsidP="00480610">
            <w:pPr>
              <w:pStyle w:val="Pa19"/>
              <w:rPr>
                <w:rFonts w:cs="Times LT Std"/>
                <w:color w:val="000000"/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 xml:space="preserve">How effectively the student </w:t>
            </w:r>
          </w:p>
          <w:p w14:paraId="1794C87C" w14:textId="77777777" w:rsidR="00480610" w:rsidRPr="00917304" w:rsidRDefault="00480610" w:rsidP="00480610">
            <w:pPr>
              <w:pStyle w:val="Pa20"/>
              <w:ind w:left="180" w:hanging="180"/>
              <w:rPr>
                <w:rFonts w:cs="Times LT Std"/>
                <w:color w:val="000000"/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 xml:space="preserve">• identifies the relationship(s) that exist </w:t>
            </w:r>
            <w:r w:rsidRPr="00917304">
              <w:rPr>
                <w:rStyle w:val="A0"/>
                <w:b/>
                <w:bCs/>
                <w:sz w:val="18"/>
                <w:szCs w:val="18"/>
              </w:rPr>
              <w:t xml:space="preserve">among </w:t>
            </w:r>
            <w:r w:rsidRPr="00917304">
              <w:rPr>
                <w:rStyle w:val="A0"/>
                <w:sz w:val="18"/>
                <w:szCs w:val="18"/>
              </w:rPr>
              <w:t>all sources</w:t>
            </w:r>
          </w:p>
          <w:p w14:paraId="41DBFDB6" w14:textId="77777777" w:rsidR="00480610" w:rsidRPr="00917304" w:rsidRDefault="00480610" w:rsidP="00480610">
            <w:pPr>
              <w:pStyle w:val="Pa20"/>
              <w:ind w:left="180" w:hanging="180"/>
              <w:rPr>
                <w:rFonts w:cs="Times LT Std"/>
                <w:color w:val="000000"/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 xml:space="preserve">• explains the relationship(s) that exist </w:t>
            </w:r>
            <w:r w:rsidRPr="00917304">
              <w:rPr>
                <w:rStyle w:val="A0"/>
                <w:b/>
                <w:bCs/>
                <w:sz w:val="18"/>
                <w:szCs w:val="18"/>
              </w:rPr>
              <w:t xml:space="preserve">among </w:t>
            </w:r>
            <w:r w:rsidRPr="00917304">
              <w:rPr>
                <w:rStyle w:val="A0"/>
                <w:sz w:val="18"/>
                <w:szCs w:val="18"/>
              </w:rPr>
              <w:t>all sources</w:t>
            </w:r>
          </w:p>
          <w:p w14:paraId="2FA0FF97" w14:textId="77777777" w:rsidR="00E17F44" w:rsidRPr="00917304" w:rsidRDefault="00480610" w:rsidP="00480610">
            <w:pPr>
              <w:rPr>
                <w:sz w:val="18"/>
                <w:szCs w:val="18"/>
              </w:rPr>
            </w:pPr>
            <w:r w:rsidRPr="00917304">
              <w:rPr>
                <w:rStyle w:val="A0"/>
                <w:b/>
                <w:bCs/>
                <w:sz w:val="18"/>
                <w:szCs w:val="18"/>
              </w:rPr>
              <w:t>Note</w:t>
            </w:r>
            <w:r w:rsidRPr="00917304">
              <w:rPr>
                <w:rStyle w:val="A0"/>
                <w:sz w:val="18"/>
                <w:szCs w:val="18"/>
              </w:rPr>
              <w:t>: Students may identify and explain the relationship(s) in one part of the response or the identification and explanation of relationship(s) may be embedded.</w:t>
            </w:r>
          </w:p>
        </w:tc>
        <w:tc>
          <w:tcPr>
            <w:tcW w:w="3980" w:type="dxa"/>
          </w:tcPr>
          <w:p w14:paraId="4E7A20D7" w14:textId="77777777" w:rsidR="00480610" w:rsidRPr="00917304" w:rsidRDefault="001340BD" w:rsidP="00480610">
            <w:pPr>
              <w:pStyle w:val="Pa19"/>
              <w:rPr>
                <w:rFonts w:cs="Times LT Std"/>
                <w:color w:val="000000"/>
                <w:sz w:val="18"/>
                <w:szCs w:val="18"/>
              </w:rPr>
            </w:pPr>
            <w:r>
              <w:rPr>
                <w:rStyle w:val="A0"/>
                <w:b/>
                <w:bCs/>
                <w:sz w:val="18"/>
                <w:szCs w:val="18"/>
              </w:rPr>
              <w:t xml:space="preserve">COMMUNICATION </w:t>
            </w:r>
          </w:p>
          <w:p w14:paraId="3E4AC1E8" w14:textId="77777777" w:rsidR="00456239" w:rsidRPr="00917304" w:rsidRDefault="00456239" w:rsidP="00456239">
            <w:pPr>
              <w:pStyle w:val="Pa19"/>
              <w:rPr>
                <w:rFonts w:cs="Times LT Std"/>
                <w:color w:val="000000"/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>How effectively the student communicates, including control of</w:t>
            </w:r>
          </w:p>
          <w:p w14:paraId="54FDA70A" w14:textId="77777777" w:rsidR="00456239" w:rsidRPr="00917304" w:rsidRDefault="00456239" w:rsidP="00456239">
            <w:pPr>
              <w:pStyle w:val="Pa20"/>
              <w:ind w:left="180" w:hanging="180"/>
              <w:rPr>
                <w:rFonts w:cs="Times LT Std"/>
                <w:color w:val="000000"/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>• vocabulary</w:t>
            </w:r>
          </w:p>
          <w:p w14:paraId="21FE0898" w14:textId="77777777" w:rsidR="00456239" w:rsidRPr="00917304" w:rsidRDefault="00456239" w:rsidP="00456239">
            <w:pPr>
              <w:pStyle w:val="Pa20"/>
              <w:ind w:left="180" w:hanging="180"/>
              <w:rPr>
                <w:rFonts w:cs="Times LT Std"/>
                <w:color w:val="000000"/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>• sentence structure</w:t>
            </w:r>
          </w:p>
          <w:p w14:paraId="299C8085" w14:textId="77777777" w:rsidR="00456239" w:rsidRPr="00917304" w:rsidRDefault="00456239" w:rsidP="00456239">
            <w:pPr>
              <w:pStyle w:val="Pa20"/>
              <w:ind w:left="180" w:hanging="180"/>
              <w:rPr>
                <w:rFonts w:cs="Times LT Std"/>
                <w:color w:val="000000"/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>• mechanics, grammar, and organization</w:t>
            </w:r>
          </w:p>
          <w:p w14:paraId="73FB24DD" w14:textId="77777777" w:rsidR="00E17F44" w:rsidRPr="00917304" w:rsidRDefault="00456239" w:rsidP="00456239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917304">
              <w:rPr>
                <w:rStyle w:val="A0"/>
                <w:b/>
                <w:bCs/>
                <w:sz w:val="18"/>
                <w:szCs w:val="18"/>
              </w:rPr>
              <w:t>Note</w:t>
            </w:r>
            <w:r w:rsidRPr="00917304">
              <w:rPr>
                <w:rStyle w:val="A0"/>
                <w:sz w:val="18"/>
                <w:szCs w:val="18"/>
              </w:rPr>
              <w:t>: Students are expected to use paragraph form for the response. Consider the proportion of error in terms of the complexity and length of the response for the assigned task.</w:t>
            </w:r>
          </w:p>
        </w:tc>
      </w:tr>
      <w:tr w:rsidR="00456239" w14:paraId="13608CD1" w14:textId="77777777" w:rsidTr="00917304">
        <w:trPr>
          <w:trHeight w:val="1121"/>
        </w:trPr>
        <w:tc>
          <w:tcPr>
            <w:tcW w:w="1368" w:type="dxa"/>
          </w:tcPr>
          <w:p w14:paraId="24B0E9DB" w14:textId="77777777" w:rsidR="00E17F44" w:rsidRPr="00456239" w:rsidRDefault="00E17F44" w:rsidP="00480610">
            <w:pPr>
              <w:pStyle w:val="Pa6"/>
              <w:jc w:val="center"/>
              <w:rPr>
                <w:rFonts w:cs="Times LT Std"/>
                <w:color w:val="000000"/>
                <w:sz w:val="20"/>
                <w:szCs w:val="20"/>
              </w:rPr>
            </w:pPr>
            <w:r w:rsidRPr="00456239">
              <w:rPr>
                <w:rFonts w:cs="Times LT Std"/>
                <w:b/>
                <w:bCs/>
                <w:color w:val="000000"/>
                <w:sz w:val="20"/>
                <w:szCs w:val="20"/>
              </w:rPr>
              <w:t>Excellent</w:t>
            </w:r>
          </w:p>
          <w:p w14:paraId="320834C0" w14:textId="77777777" w:rsidR="00E17F44" w:rsidRPr="00456239" w:rsidRDefault="00E17F44" w:rsidP="00480610">
            <w:pPr>
              <w:jc w:val="center"/>
              <w:rPr>
                <w:sz w:val="40"/>
                <w:szCs w:val="40"/>
              </w:rPr>
            </w:pPr>
            <w:r w:rsidRPr="00456239">
              <w:rPr>
                <w:rFonts w:cs="Times LT Std"/>
                <w:b/>
                <w:bCs/>
                <w:color w:val="000000"/>
                <w:sz w:val="40"/>
                <w:szCs w:val="40"/>
              </w:rPr>
              <w:t>E</w:t>
            </w:r>
          </w:p>
        </w:tc>
        <w:tc>
          <w:tcPr>
            <w:tcW w:w="4320" w:type="dxa"/>
          </w:tcPr>
          <w:p w14:paraId="7FDC7A72" w14:textId="77777777" w:rsidR="00E17F44" w:rsidRPr="00917304" w:rsidRDefault="00E17F44" w:rsidP="00480610">
            <w:pPr>
              <w:pStyle w:val="Pa19"/>
              <w:rPr>
                <w:rFonts w:cs="Times LT Std"/>
                <w:color w:val="000000"/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 xml:space="preserve">Interpretation and explanation of the source is sophisticated, insightful, and precise. The links to the principles of </w:t>
            </w:r>
            <w:r w:rsidR="00917304">
              <w:rPr>
                <w:rStyle w:val="A0"/>
                <w:sz w:val="18"/>
                <w:szCs w:val="18"/>
              </w:rPr>
              <w:t xml:space="preserve"> globalization, nationalism or </w:t>
            </w:r>
            <w:r w:rsidRPr="00917304">
              <w:rPr>
                <w:rStyle w:val="A0"/>
                <w:sz w:val="18"/>
                <w:szCs w:val="18"/>
              </w:rPr>
              <w:t>liberalism are accurate, perceptive, and comprehensively developed.</w:t>
            </w:r>
          </w:p>
        </w:tc>
        <w:tc>
          <w:tcPr>
            <w:tcW w:w="3960" w:type="dxa"/>
          </w:tcPr>
          <w:p w14:paraId="4852594E" w14:textId="77777777" w:rsidR="00E17F44" w:rsidRPr="00917304" w:rsidRDefault="00480610" w:rsidP="00480610">
            <w:pPr>
              <w:rPr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>Relationship(s) are accurately and perceptively identified. The explanation is thorough and comprehensive.</w:t>
            </w:r>
          </w:p>
        </w:tc>
        <w:tc>
          <w:tcPr>
            <w:tcW w:w="3980" w:type="dxa"/>
          </w:tcPr>
          <w:p w14:paraId="1A38E2C6" w14:textId="77777777" w:rsidR="00E17F44" w:rsidRPr="00917304" w:rsidRDefault="00456239" w:rsidP="00480610">
            <w:pPr>
              <w:rPr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>Vocabulary is precise and deliberately chosen. Sentence structure is controlled and sophisticated. The writing demonstrates skillful control of mechanics and grammar, and is judiciously organized.</w:t>
            </w:r>
          </w:p>
        </w:tc>
      </w:tr>
      <w:tr w:rsidR="00456239" w14:paraId="5A30354C" w14:textId="77777777" w:rsidTr="00917304">
        <w:trPr>
          <w:trHeight w:val="1068"/>
        </w:trPr>
        <w:tc>
          <w:tcPr>
            <w:tcW w:w="1368" w:type="dxa"/>
          </w:tcPr>
          <w:p w14:paraId="7A06DAF4" w14:textId="77777777" w:rsidR="00E17F44" w:rsidRPr="00456239" w:rsidRDefault="00E17F44" w:rsidP="00480610">
            <w:pPr>
              <w:pStyle w:val="Pa6"/>
              <w:jc w:val="center"/>
              <w:rPr>
                <w:rFonts w:cs="Times LT Std"/>
                <w:color w:val="000000"/>
                <w:sz w:val="20"/>
                <w:szCs w:val="20"/>
              </w:rPr>
            </w:pPr>
            <w:r w:rsidRPr="00456239">
              <w:rPr>
                <w:rFonts w:cs="Times LT Std"/>
                <w:b/>
                <w:bCs/>
                <w:color w:val="000000"/>
                <w:sz w:val="20"/>
                <w:szCs w:val="20"/>
              </w:rPr>
              <w:t>Proficient</w:t>
            </w:r>
          </w:p>
          <w:p w14:paraId="740AC935" w14:textId="77777777" w:rsidR="00E17F44" w:rsidRPr="00456239" w:rsidRDefault="00E17F44" w:rsidP="00480610">
            <w:pPr>
              <w:jc w:val="center"/>
              <w:rPr>
                <w:sz w:val="40"/>
                <w:szCs w:val="40"/>
              </w:rPr>
            </w:pPr>
            <w:r w:rsidRPr="00456239">
              <w:rPr>
                <w:rFonts w:cs="Times LT Std"/>
                <w:b/>
                <w:bCs/>
                <w:color w:val="000000"/>
                <w:sz w:val="40"/>
                <w:szCs w:val="40"/>
              </w:rPr>
              <w:t>Pf</w:t>
            </w:r>
          </w:p>
        </w:tc>
        <w:tc>
          <w:tcPr>
            <w:tcW w:w="4320" w:type="dxa"/>
          </w:tcPr>
          <w:p w14:paraId="5CD5FF25" w14:textId="77777777" w:rsidR="00E17F44" w:rsidRPr="00917304" w:rsidRDefault="00E17F44" w:rsidP="00480610">
            <w:pPr>
              <w:rPr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 xml:space="preserve">Interpretation and explanation of the source is sound, specific, and adept. The links to the principles of </w:t>
            </w:r>
            <w:r w:rsidR="00917304">
              <w:rPr>
                <w:rStyle w:val="A0"/>
                <w:sz w:val="18"/>
                <w:szCs w:val="18"/>
              </w:rPr>
              <w:t xml:space="preserve"> globalization, nationalism or </w:t>
            </w:r>
            <w:r w:rsidRPr="00917304">
              <w:rPr>
                <w:rStyle w:val="A0"/>
                <w:sz w:val="18"/>
                <w:szCs w:val="18"/>
              </w:rPr>
              <w:t>liberalism are consistent, logical, and capably developed.</w:t>
            </w:r>
          </w:p>
        </w:tc>
        <w:tc>
          <w:tcPr>
            <w:tcW w:w="3960" w:type="dxa"/>
          </w:tcPr>
          <w:p w14:paraId="18AA2940" w14:textId="77777777" w:rsidR="00E17F44" w:rsidRPr="00917304" w:rsidRDefault="00480610" w:rsidP="00480610">
            <w:pPr>
              <w:rPr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>Relationship(s) are clearly and capably identified. The explanation is appropriate and purposeful.</w:t>
            </w:r>
          </w:p>
        </w:tc>
        <w:tc>
          <w:tcPr>
            <w:tcW w:w="3980" w:type="dxa"/>
          </w:tcPr>
          <w:p w14:paraId="52FD4AED" w14:textId="77777777" w:rsidR="00E17F44" w:rsidRPr="00917304" w:rsidRDefault="00456239" w:rsidP="00480610">
            <w:pPr>
              <w:rPr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>Vocabulary is appropriate and specific. Sentence structure is controlled and effective. The writing demonstrates capable control of mechanics and grammar, and is purposefully organized.</w:t>
            </w:r>
          </w:p>
        </w:tc>
      </w:tr>
      <w:tr w:rsidR="00456239" w14:paraId="3D3684AF" w14:textId="77777777" w:rsidTr="00917304">
        <w:trPr>
          <w:trHeight w:val="1069"/>
        </w:trPr>
        <w:tc>
          <w:tcPr>
            <w:tcW w:w="1368" w:type="dxa"/>
          </w:tcPr>
          <w:p w14:paraId="06797E3A" w14:textId="77777777" w:rsidR="00E17F44" w:rsidRPr="00456239" w:rsidRDefault="00456239" w:rsidP="00480610">
            <w:pPr>
              <w:pStyle w:val="Pa6"/>
              <w:jc w:val="center"/>
              <w:rPr>
                <w:rFonts w:cs="Times LT Std"/>
                <w:color w:val="000000"/>
                <w:sz w:val="20"/>
                <w:szCs w:val="20"/>
              </w:rPr>
            </w:pPr>
            <w:r w:rsidRPr="00456239">
              <w:rPr>
                <w:rFonts w:cs="Times LT Std"/>
                <w:b/>
                <w:bCs/>
                <w:color w:val="000000"/>
                <w:sz w:val="20"/>
                <w:szCs w:val="20"/>
              </w:rPr>
              <w:t>Satisfacto</w:t>
            </w:r>
            <w:r w:rsidR="00E17F44" w:rsidRPr="00456239">
              <w:rPr>
                <w:rFonts w:cs="Times LT Std"/>
                <w:b/>
                <w:bCs/>
                <w:color w:val="000000"/>
                <w:sz w:val="20"/>
                <w:szCs w:val="20"/>
              </w:rPr>
              <w:t>ry</w:t>
            </w:r>
          </w:p>
          <w:p w14:paraId="7DEC33D5" w14:textId="77777777" w:rsidR="00E17F44" w:rsidRPr="00456239" w:rsidRDefault="00E17F44" w:rsidP="00480610">
            <w:pPr>
              <w:jc w:val="center"/>
              <w:rPr>
                <w:sz w:val="40"/>
                <w:szCs w:val="40"/>
              </w:rPr>
            </w:pPr>
            <w:r w:rsidRPr="00456239">
              <w:rPr>
                <w:rFonts w:cs="Times LT Std"/>
                <w:b/>
                <w:bCs/>
                <w:color w:val="000000"/>
                <w:sz w:val="40"/>
                <w:szCs w:val="40"/>
              </w:rPr>
              <w:t>S</w:t>
            </w:r>
          </w:p>
        </w:tc>
        <w:tc>
          <w:tcPr>
            <w:tcW w:w="4320" w:type="dxa"/>
          </w:tcPr>
          <w:p w14:paraId="698D7E7E" w14:textId="77777777" w:rsidR="00E17F44" w:rsidRPr="00917304" w:rsidRDefault="00E17F44" w:rsidP="00480610">
            <w:pPr>
              <w:rPr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 xml:space="preserve">Interpretation and explanation of the source is adequate, straightforward, and conventional. The links to the principles of </w:t>
            </w:r>
            <w:r w:rsidR="00917304">
              <w:rPr>
                <w:rStyle w:val="A0"/>
                <w:sz w:val="18"/>
                <w:szCs w:val="18"/>
              </w:rPr>
              <w:t xml:space="preserve"> globalization, nationalism or </w:t>
            </w:r>
            <w:r w:rsidRPr="00917304">
              <w:rPr>
                <w:rStyle w:val="A0"/>
                <w:sz w:val="18"/>
                <w:szCs w:val="18"/>
              </w:rPr>
              <w:t>liberalism are relevant and developed in a generalized fashion.</w:t>
            </w:r>
          </w:p>
        </w:tc>
        <w:tc>
          <w:tcPr>
            <w:tcW w:w="3960" w:type="dxa"/>
          </w:tcPr>
          <w:p w14:paraId="743A9B63" w14:textId="77777777" w:rsidR="00E17F44" w:rsidRPr="00917304" w:rsidRDefault="00480610" w:rsidP="00480610">
            <w:pPr>
              <w:rPr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>Relationship(s) are generally and adequately identified. The explanation is straightforward and conventional.</w:t>
            </w:r>
          </w:p>
        </w:tc>
        <w:tc>
          <w:tcPr>
            <w:tcW w:w="3980" w:type="dxa"/>
          </w:tcPr>
          <w:p w14:paraId="07680939" w14:textId="77777777" w:rsidR="00E17F44" w:rsidRPr="00917304" w:rsidRDefault="00456239" w:rsidP="00480610">
            <w:pPr>
              <w:rPr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>Vocabulary is conventional and generalized. Sentence structure is controlled and straightforward. The writing demonstrates basic control of mechanics and grammar, and is adequately organized.</w:t>
            </w:r>
          </w:p>
        </w:tc>
      </w:tr>
      <w:tr w:rsidR="00456239" w14:paraId="3872547E" w14:textId="77777777" w:rsidTr="00917304">
        <w:trPr>
          <w:trHeight w:val="1071"/>
        </w:trPr>
        <w:tc>
          <w:tcPr>
            <w:tcW w:w="1368" w:type="dxa"/>
          </w:tcPr>
          <w:p w14:paraId="6F8CF128" w14:textId="77777777" w:rsidR="00480610" w:rsidRPr="00456239" w:rsidRDefault="00480610" w:rsidP="00480610">
            <w:pPr>
              <w:pStyle w:val="Pa6"/>
              <w:jc w:val="center"/>
              <w:rPr>
                <w:rFonts w:cs="Times LT Std"/>
                <w:color w:val="000000"/>
                <w:sz w:val="20"/>
                <w:szCs w:val="20"/>
              </w:rPr>
            </w:pPr>
            <w:r w:rsidRPr="00456239">
              <w:rPr>
                <w:rFonts w:cs="Times LT Std"/>
                <w:b/>
                <w:bCs/>
                <w:color w:val="000000"/>
                <w:sz w:val="20"/>
                <w:szCs w:val="20"/>
              </w:rPr>
              <w:t>Limited</w:t>
            </w:r>
          </w:p>
          <w:p w14:paraId="0D0C8598" w14:textId="77777777" w:rsidR="00480610" w:rsidRPr="00456239" w:rsidRDefault="00480610" w:rsidP="00480610">
            <w:pPr>
              <w:pStyle w:val="Default"/>
              <w:jc w:val="center"/>
              <w:rPr>
                <w:rFonts w:cs="Times New Roman"/>
                <w:color w:val="auto"/>
                <w:sz w:val="40"/>
                <w:szCs w:val="40"/>
              </w:rPr>
            </w:pPr>
            <w:r w:rsidRPr="00456239">
              <w:rPr>
                <w:b/>
                <w:bCs/>
                <w:sz w:val="40"/>
                <w:szCs w:val="40"/>
              </w:rPr>
              <w:t>L</w:t>
            </w:r>
          </w:p>
          <w:p w14:paraId="346DC7A6" w14:textId="77777777" w:rsidR="00E17F44" w:rsidRDefault="00E17F44" w:rsidP="00480610">
            <w:pPr>
              <w:jc w:val="center"/>
            </w:pPr>
          </w:p>
        </w:tc>
        <w:tc>
          <w:tcPr>
            <w:tcW w:w="4320" w:type="dxa"/>
          </w:tcPr>
          <w:p w14:paraId="72910451" w14:textId="77777777" w:rsidR="00E17F44" w:rsidRPr="00917304" w:rsidRDefault="00E17F44" w:rsidP="00480610">
            <w:pPr>
              <w:rPr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 xml:space="preserve">Interpretation and explanation of the source is confused, vague, and simplistic. The links to the principles of </w:t>
            </w:r>
            <w:r w:rsidR="00917304">
              <w:rPr>
                <w:rStyle w:val="A0"/>
                <w:sz w:val="18"/>
                <w:szCs w:val="18"/>
              </w:rPr>
              <w:t xml:space="preserve"> globalization, nationalism or </w:t>
            </w:r>
            <w:r w:rsidRPr="00917304">
              <w:rPr>
                <w:rStyle w:val="A0"/>
                <w:sz w:val="18"/>
                <w:szCs w:val="18"/>
              </w:rPr>
              <w:t>liberalism may be incomplete, superficial, and imprecise.</w:t>
            </w:r>
          </w:p>
        </w:tc>
        <w:tc>
          <w:tcPr>
            <w:tcW w:w="3960" w:type="dxa"/>
          </w:tcPr>
          <w:p w14:paraId="405F8F89" w14:textId="77777777" w:rsidR="00480610" w:rsidRPr="00917304" w:rsidRDefault="00480610" w:rsidP="00480610">
            <w:pPr>
              <w:pStyle w:val="Pa19"/>
              <w:rPr>
                <w:rFonts w:cs="Times LT Std"/>
                <w:color w:val="000000"/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>The identification of relationship(s) is superficial, illogical, and of questionable accuracy. The explanation is confusing, overgeneralized, and redundant.</w:t>
            </w:r>
          </w:p>
          <w:p w14:paraId="2D125B34" w14:textId="77777777" w:rsidR="00480610" w:rsidRPr="00917304" w:rsidRDefault="00480610" w:rsidP="00480610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  <w:p w14:paraId="3441AAF7" w14:textId="77777777" w:rsidR="00E17F44" w:rsidRPr="00917304" w:rsidRDefault="00E17F44" w:rsidP="00480610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</w:tcPr>
          <w:p w14:paraId="56488DBC" w14:textId="77777777" w:rsidR="00E17F44" w:rsidRPr="00917304" w:rsidRDefault="00456239" w:rsidP="00480610">
            <w:pPr>
              <w:rPr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>Vocabulary is imprecise, simplistic, and inappropriate. Sentence structure is awkward. The writing demonstrates a faltering control of mechanics and grammar, and is ineffectively organized.</w:t>
            </w:r>
          </w:p>
        </w:tc>
      </w:tr>
      <w:tr w:rsidR="00456239" w14:paraId="39908EAF" w14:textId="77777777" w:rsidTr="00EF6560">
        <w:trPr>
          <w:trHeight w:val="1251"/>
        </w:trPr>
        <w:tc>
          <w:tcPr>
            <w:tcW w:w="1368" w:type="dxa"/>
          </w:tcPr>
          <w:p w14:paraId="15202E88" w14:textId="77777777" w:rsidR="00480610" w:rsidRPr="00456239" w:rsidRDefault="00480610" w:rsidP="00480610">
            <w:pPr>
              <w:pStyle w:val="Pa6"/>
              <w:jc w:val="center"/>
              <w:rPr>
                <w:rFonts w:cs="Times LT Std"/>
                <w:color w:val="000000"/>
                <w:sz w:val="20"/>
                <w:szCs w:val="20"/>
              </w:rPr>
            </w:pPr>
            <w:r w:rsidRPr="00456239">
              <w:rPr>
                <w:rFonts w:cs="Times LT Std"/>
                <w:b/>
                <w:bCs/>
                <w:color w:val="000000"/>
                <w:sz w:val="20"/>
                <w:szCs w:val="20"/>
              </w:rPr>
              <w:t>Poor</w:t>
            </w:r>
          </w:p>
          <w:p w14:paraId="0EA5D932" w14:textId="77777777" w:rsidR="00E17F44" w:rsidRPr="00456239" w:rsidRDefault="00480610" w:rsidP="00480610">
            <w:pPr>
              <w:jc w:val="center"/>
              <w:rPr>
                <w:sz w:val="40"/>
                <w:szCs w:val="40"/>
              </w:rPr>
            </w:pPr>
            <w:r w:rsidRPr="00456239">
              <w:rPr>
                <w:rFonts w:cs="Times LT Std"/>
                <w:b/>
                <w:bCs/>
                <w:color w:val="000000"/>
                <w:sz w:val="40"/>
                <w:szCs w:val="40"/>
              </w:rPr>
              <w:t>P</w:t>
            </w:r>
          </w:p>
        </w:tc>
        <w:tc>
          <w:tcPr>
            <w:tcW w:w="4320" w:type="dxa"/>
          </w:tcPr>
          <w:p w14:paraId="0B8A1913" w14:textId="77777777" w:rsidR="00E17F44" w:rsidRPr="00917304" w:rsidRDefault="00480610" w:rsidP="00917304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 xml:space="preserve">Interpretation and explanation of the source is minimal, inaccurate and simply copied from the source. The links to the principles of </w:t>
            </w:r>
            <w:r w:rsidR="00917304">
              <w:rPr>
                <w:rStyle w:val="A0"/>
                <w:sz w:val="18"/>
                <w:szCs w:val="18"/>
              </w:rPr>
              <w:t xml:space="preserve"> globalization, nationalism or </w:t>
            </w:r>
            <w:r w:rsidRPr="00917304">
              <w:rPr>
                <w:rStyle w:val="A0"/>
                <w:sz w:val="18"/>
                <w:szCs w:val="18"/>
              </w:rPr>
              <w:t>liberalism are disjointed, irrelevant, and demonstrate little or no understanding of the assigned task.</w:t>
            </w:r>
          </w:p>
        </w:tc>
        <w:tc>
          <w:tcPr>
            <w:tcW w:w="3960" w:type="dxa"/>
          </w:tcPr>
          <w:p w14:paraId="4BF0B36F" w14:textId="77777777" w:rsidR="00E17F44" w:rsidRPr="00917304" w:rsidRDefault="00480610" w:rsidP="00480610">
            <w:pPr>
              <w:rPr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>The identification of relationship(s) is minimal. The explanation is tangential and scant.</w:t>
            </w:r>
          </w:p>
        </w:tc>
        <w:tc>
          <w:tcPr>
            <w:tcW w:w="3980" w:type="dxa"/>
          </w:tcPr>
          <w:p w14:paraId="6C2098BD" w14:textId="77777777" w:rsidR="00E17F44" w:rsidRPr="00917304" w:rsidRDefault="00456239" w:rsidP="00480610">
            <w:pPr>
              <w:rPr>
                <w:sz w:val="18"/>
                <w:szCs w:val="18"/>
              </w:rPr>
            </w:pPr>
            <w:r w:rsidRPr="00917304">
              <w:rPr>
                <w:rStyle w:val="A0"/>
                <w:sz w:val="18"/>
                <w:szCs w:val="18"/>
              </w:rPr>
              <w:t>Vocabulary is overgeneralized and inaccurate. Sentence structure is uncontrolled. The writing demonstrates a profound lack of control of mechanics and grammar, and is haphazardly organized.</w:t>
            </w:r>
          </w:p>
        </w:tc>
      </w:tr>
    </w:tbl>
    <w:p w14:paraId="79BEAB82" w14:textId="77777777" w:rsidR="00456239" w:rsidRDefault="00E17F44" w:rsidP="00456239">
      <w:pPr>
        <w:rPr>
          <w:rStyle w:val="A0"/>
          <w:b/>
          <w:bCs/>
          <w:sz w:val="20"/>
          <w:szCs w:val="20"/>
        </w:rPr>
      </w:pPr>
      <w:r>
        <w:br w:type="textWrapping" w:clear="all"/>
      </w:r>
      <w:r w:rsidR="00480610" w:rsidRPr="00456239">
        <w:rPr>
          <w:rStyle w:val="A0"/>
          <w:sz w:val="20"/>
          <w:szCs w:val="20"/>
        </w:rPr>
        <w:t xml:space="preserve">Zero is assigned to a response that fails to meet the minimum requirements of </w:t>
      </w:r>
      <w:r w:rsidR="00480610" w:rsidRPr="00456239">
        <w:rPr>
          <w:rStyle w:val="A0"/>
          <w:b/>
          <w:bCs/>
          <w:sz w:val="20"/>
          <w:szCs w:val="20"/>
        </w:rPr>
        <w:t>Poo</w:t>
      </w:r>
      <w:r w:rsidR="00917304">
        <w:rPr>
          <w:rStyle w:val="A0"/>
          <w:b/>
          <w:bCs/>
          <w:sz w:val="20"/>
          <w:szCs w:val="20"/>
        </w:rPr>
        <w:t>r.</w:t>
      </w:r>
    </w:p>
    <w:p w14:paraId="22C69590" w14:textId="77777777" w:rsidR="00917304" w:rsidRDefault="00917304" w:rsidP="00456239">
      <w:pPr>
        <w:rPr>
          <w:rStyle w:val="A0"/>
          <w:b/>
          <w:bCs/>
          <w:sz w:val="20"/>
          <w:szCs w:val="20"/>
        </w:rPr>
      </w:pPr>
    </w:p>
    <w:p w14:paraId="37646831" w14:textId="77777777" w:rsidR="007703C8" w:rsidRDefault="007703C8" w:rsidP="00456239">
      <w:pPr>
        <w:rPr>
          <w:rStyle w:val="A0"/>
          <w:sz w:val="18"/>
          <w:szCs w:val="18"/>
        </w:rPr>
      </w:pPr>
    </w:p>
    <w:p w14:paraId="7947F0D3" w14:textId="77777777" w:rsidR="00962BF5" w:rsidRDefault="00962BF5" w:rsidP="00EF6560">
      <w:pPr>
        <w:pStyle w:val="NoSpacing"/>
        <w:spacing w:line="360" w:lineRule="auto"/>
        <w:jc w:val="center"/>
        <w:rPr>
          <w:rFonts w:ascii="Cambria" w:hAnsi="Cambria"/>
          <w:b/>
          <w:sz w:val="24"/>
          <w:szCs w:val="24"/>
          <w:lang w:val="en-US"/>
        </w:rPr>
      </w:pPr>
    </w:p>
    <w:p w14:paraId="21FDE017" w14:textId="013485DB" w:rsidR="00EF6560" w:rsidRPr="00314F8E" w:rsidRDefault="00EF6560" w:rsidP="00EF6560">
      <w:pPr>
        <w:pStyle w:val="NoSpacing"/>
        <w:spacing w:line="360" w:lineRule="auto"/>
        <w:jc w:val="center"/>
        <w:rPr>
          <w:rFonts w:ascii="Cambria" w:hAnsi="Cambria"/>
          <w:b/>
          <w:sz w:val="24"/>
          <w:szCs w:val="24"/>
          <w:lang w:val="en-US"/>
        </w:rPr>
      </w:pPr>
      <w:r w:rsidRPr="00314F8E">
        <w:rPr>
          <w:rFonts w:ascii="Cambria" w:hAnsi="Cambria"/>
          <w:b/>
          <w:sz w:val="24"/>
          <w:szCs w:val="24"/>
          <w:lang w:val="en-US"/>
        </w:rPr>
        <w:lastRenderedPageBreak/>
        <w:t xml:space="preserve">Social Studies </w:t>
      </w:r>
      <w:r w:rsidR="00962BF5">
        <w:rPr>
          <w:rFonts w:ascii="Cambria" w:hAnsi="Cambria"/>
          <w:b/>
          <w:sz w:val="24"/>
          <w:szCs w:val="24"/>
          <w:lang w:val="en-US"/>
        </w:rPr>
        <w:t>1</w:t>
      </w:r>
      <w:r w:rsidR="002456D2">
        <w:rPr>
          <w:rFonts w:ascii="Cambria" w:hAnsi="Cambria"/>
          <w:b/>
          <w:sz w:val="24"/>
          <w:szCs w:val="24"/>
          <w:lang w:val="en-US"/>
        </w:rPr>
        <w:t xml:space="preserve">0-1 </w:t>
      </w:r>
      <w:r w:rsidRPr="00314F8E">
        <w:rPr>
          <w:rFonts w:ascii="Cambria" w:hAnsi="Cambria"/>
          <w:b/>
          <w:sz w:val="24"/>
          <w:szCs w:val="24"/>
          <w:lang w:val="en-US"/>
        </w:rPr>
        <w:t xml:space="preserve"> Written Response Assignments</w:t>
      </w:r>
    </w:p>
    <w:p w14:paraId="238AA65A" w14:textId="77777777" w:rsidR="00EF6560" w:rsidRDefault="002456D2" w:rsidP="00EF6560">
      <w:pPr>
        <w:pStyle w:val="NoSpacing"/>
        <w:jc w:val="center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Weighting/Scoring </w:t>
      </w:r>
    </w:p>
    <w:p w14:paraId="191C95ED" w14:textId="77777777" w:rsidR="00EF6560" w:rsidRDefault="00EF6560" w:rsidP="00EF6560">
      <w:pPr>
        <w:pStyle w:val="NoSpacing"/>
        <w:rPr>
          <w:rFonts w:ascii="Cambria" w:hAnsi="Cambria"/>
          <w:b/>
          <w:sz w:val="24"/>
          <w:szCs w:val="24"/>
          <w:lang w:val="en-US"/>
        </w:rPr>
      </w:pPr>
    </w:p>
    <w:p w14:paraId="78B066A8" w14:textId="77777777" w:rsidR="00EF6560" w:rsidRDefault="00EF6560" w:rsidP="00EF6560">
      <w:pPr>
        <w:pStyle w:val="NoSpacing"/>
        <w:rPr>
          <w:rFonts w:ascii="Cambria" w:hAnsi="Cambria"/>
          <w:i/>
          <w:lang w:val="en-US"/>
        </w:rPr>
      </w:pPr>
    </w:p>
    <w:p w14:paraId="225F38C3" w14:textId="77777777" w:rsidR="00EF6560" w:rsidRDefault="00EF6560" w:rsidP="00EF6560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3A1162E3" w14:textId="77777777" w:rsidR="00EF6560" w:rsidRDefault="00EF6560" w:rsidP="00EF6560">
      <w:pPr>
        <w:pStyle w:val="NoSpacing"/>
        <w:rPr>
          <w:rFonts w:ascii="Cambria" w:hAnsi="Cambria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6"/>
        <w:gridCol w:w="1696"/>
        <w:gridCol w:w="1696"/>
        <w:gridCol w:w="1696"/>
        <w:gridCol w:w="1697"/>
        <w:gridCol w:w="1697"/>
      </w:tblGrid>
      <w:tr w:rsidR="00EF6560" w:rsidRPr="00137E85" w14:paraId="33EB5FAD" w14:textId="77777777" w:rsidTr="00EF6560">
        <w:trPr>
          <w:trHeight w:val="597"/>
          <w:jc w:val="center"/>
        </w:trPr>
        <w:tc>
          <w:tcPr>
            <w:tcW w:w="1696" w:type="dxa"/>
            <w:tcBorders>
              <w:top w:val="nil"/>
              <w:left w:val="nil"/>
            </w:tcBorders>
            <w:vAlign w:val="center"/>
          </w:tcPr>
          <w:p w14:paraId="480B7455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</w:p>
        </w:tc>
        <w:tc>
          <w:tcPr>
            <w:tcW w:w="1696" w:type="dxa"/>
            <w:vAlign w:val="center"/>
          </w:tcPr>
          <w:p w14:paraId="7A7AC0DC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137E85">
              <w:rPr>
                <w:rFonts w:ascii="Cambria" w:hAnsi="Cambria"/>
                <w:b/>
                <w:sz w:val="18"/>
                <w:szCs w:val="18"/>
                <w:lang w:val="en-US"/>
              </w:rPr>
              <w:t>Interpretation of Source 1</w:t>
            </w:r>
          </w:p>
        </w:tc>
        <w:tc>
          <w:tcPr>
            <w:tcW w:w="1696" w:type="dxa"/>
            <w:vAlign w:val="center"/>
          </w:tcPr>
          <w:p w14:paraId="5245ABE9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b/>
                <w:sz w:val="18"/>
                <w:szCs w:val="18"/>
                <w:lang w:val="en-US"/>
              </w:rPr>
              <w:t>Interpretation of Source 2</w:t>
            </w:r>
          </w:p>
        </w:tc>
        <w:tc>
          <w:tcPr>
            <w:tcW w:w="1696" w:type="dxa"/>
            <w:vAlign w:val="center"/>
          </w:tcPr>
          <w:p w14:paraId="55E0EA60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b/>
                <w:sz w:val="18"/>
                <w:szCs w:val="18"/>
                <w:lang w:val="en-US"/>
              </w:rPr>
              <w:t>Interpretation of Source 3</w:t>
            </w:r>
          </w:p>
        </w:tc>
        <w:tc>
          <w:tcPr>
            <w:tcW w:w="1697" w:type="dxa"/>
            <w:vAlign w:val="center"/>
          </w:tcPr>
          <w:p w14:paraId="308C51D2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b/>
                <w:sz w:val="18"/>
                <w:szCs w:val="18"/>
                <w:lang w:val="en-US"/>
              </w:rPr>
              <w:t>Identification of Relationships</w:t>
            </w:r>
          </w:p>
        </w:tc>
        <w:tc>
          <w:tcPr>
            <w:tcW w:w="1697" w:type="dxa"/>
            <w:vAlign w:val="center"/>
          </w:tcPr>
          <w:p w14:paraId="122BC32D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b/>
                <w:sz w:val="18"/>
                <w:szCs w:val="18"/>
                <w:lang w:val="en-US"/>
              </w:rPr>
              <w:t>Quality of Communication</w:t>
            </w:r>
          </w:p>
        </w:tc>
      </w:tr>
      <w:tr w:rsidR="00EF6560" w:rsidRPr="00137E85" w14:paraId="3DEF5DE5" w14:textId="77777777" w:rsidTr="00EF6560">
        <w:trPr>
          <w:trHeight w:val="598"/>
          <w:jc w:val="center"/>
        </w:trPr>
        <w:tc>
          <w:tcPr>
            <w:tcW w:w="1696" w:type="dxa"/>
          </w:tcPr>
          <w:p w14:paraId="67C250E1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37E85">
              <w:rPr>
                <w:rFonts w:ascii="Cambria" w:hAnsi="Cambria"/>
                <w:b/>
                <w:sz w:val="28"/>
                <w:szCs w:val="28"/>
                <w:lang w:val="en-US"/>
              </w:rPr>
              <w:t>E</w:t>
            </w:r>
          </w:p>
          <w:p w14:paraId="24A5AA32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137E85">
              <w:rPr>
                <w:rFonts w:ascii="Cambria" w:hAnsi="Cambria"/>
                <w:b/>
                <w:sz w:val="18"/>
                <w:szCs w:val="18"/>
                <w:lang w:val="en-US"/>
              </w:rPr>
              <w:t>Excellent</w:t>
            </w:r>
          </w:p>
        </w:tc>
        <w:tc>
          <w:tcPr>
            <w:tcW w:w="1696" w:type="dxa"/>
            <w:vAlign w:val="center"/>
          </w:tcPr>
          <w:p w14:paraId="027F0D92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4</w:t>
            </w:r>
          </w:p>
        </w:tc>
        <w:tc>
          <w:tcPr>
            <w:tcW w:w="1696" w:type="dxa"/>
            <w:vAlign w:val="center"/>
          </w:tcPr>
          <w:p w14:paraId="5F383F80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4</w:t>
            </w:r>
          </w:p>
        </w:tc>
        <w:tc>
          <w:tcPr>
            <w:tcW w:w="1696" w:type="dxa"/>
            <w:vAlign w:val="center"/>
          </w:tcPr>
          <w:p w14:paraId="0BE90AD1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4</w:t>
            </w:r>
          </w:p>
        </w:tc>
        <w:tc>
          <w:tcPr>
            <w:tcW w:w="1697" w:type="dxa"/>
            <w:vAlign w:val="center"/>
          </w:tcPr>
          <w:p w14:paraId="06509AF8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6</w:t>
            </w:r>
          </w:p>
        </w:tc>
        <w:tc>
          <w:tcPr>
            <w:tcW w:w="1697" w:type="dxa"/>
            <w:vAlign w:val="center"/>
          </w:tcPr>
          <w:p w14:paraId="5D55C18E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</w:tr>
      <w:tr w:rsidR="00EF6560" w:rsidRPr="00137E85" w14:paraId="20C75245" w14:textId="77777777" w:rsidTr="00EF6560">
        <w:trPr>
          <w:trHeight w:val="581"/>
          <w:jc w:val="center"/>
        </w:trPr>
        <w:tc>
          <w:tcPr>
            <w:tcW w:w="1696" w:type="dxa"/>
          </w:tcPr>
          <w:p w14:paraId="22F1F6F4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37E85">
              <w:rPr>
                <w:rFonts w:ascii="Cambria" w:hAnsi="Cambria"/>
                <w:b/>
                <w:sz w:val="28"/>
                <w:szCs w:val="28"/>
                <w:lang w:val="en-US"/>
              </w:rPr>
              <w:t>Pf</w:t>
            </w:r>
          </w:p>
          <w:p w14:paraId="379BC389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37E85">
              <w:rPr>
                <w:rFonts w:ascii="Cambria" w:hAnsi="Cambria"/>
                <w:b/>
                <w:sz w:val="18"/>
                <w:szCs w:val="18"/>
                <w:lang w:val="en-US"/>
              </w:rPr>
              <w:t>Proficient</w:t>
            </w:r>
          </w:p>
        </w:tc>
        <w:tc>
          <w:tcPr>
            <w:tcW w:w="1696" w:type="dxa"/>
            <w:vAlign w:val="center"/>
          </w:tcPr>
          <w:p w14:paraId="6DA930E3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3.2</w:t>
            </w:r>
          </w:p>
        </w:tc>
        <w:tc>
          <w:tcPr>
            <w:tcW w:w="1696" w:type="dxa"/>
            <w:vAlign w:val="center"/>
          </w:tcPr>
          <w:p w14:paraId="0EC577AB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3.2</w:t>
            </w:r>
          </w:p>
        </w:tc>
        <w:tc>
          <w:tcPr>
            <w:tcW w:w="1696" w:type="dxa"/>
            <w:vAlign w:val="center"/>
          </w:tcPr>
          <w:p w14:paraId="488C90B2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3.2</w:t>
            </w:r>
          </w:p>
        </w:tc>
        <w:tc>
          <w:tcPr>
            <w:tcW w:w="1697" w:type="dxa"/>
            <w:vAlign w:val="center"/>
          </w:tcPr>
          <w:p w14:paraId="5397D1A2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4.8</w:t>
            </w:r>
          </w:p>
        </w:tc>
        <w:tc>
          <w:tcPr>
            <w:tcW w:w="1697" w:type="dxa"/>
            <w:vAlign w:val="center"/>
          </w:tcPr>
          <w:p w14:paraId="02520CF2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1.6</w:t>
            </w:r>
          </w:p>
        </w:tc>
      </w:tr>
      <w:tr w:rsidR="00EF6560" w:rsidRPr="00137E85" w14:paraId="718A48DB" w14:textId="77777777" w:rsidTr="00EF6560">
        <w:trPr>
          <w:trHeight w:val="598"/>
          <w:jc w:val="center"/>
        </w:trPr>
        <w:tc>
          <w:tcPr>
            <w:tcW w:w="1696" w:type="dxa"/>
          </w:tcPr>
          <w:p w14:paraId="19ABD6F2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37E85">
              <w:rPr>
                <w:rFonts w:ascii="Cambria" w:hAnsi="Cambria"/>
                <w:b/>
                <w:sz w:val="28"/>
                <w:szCs w:val="28"/>
                <w:lang w:val="en-US"/>
              </w:rPr>
              <w:t>S</w:t>
            </w:r>
          </w:p>
          <w:p w14:paraId="7061BD08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37E85">
              <w:rPr>
                <w:rFonts w:ascii="Cambria" w:hAnsi="Cambria"/>
                <w:b/>
                <w:sz w:val="18"/>
                <w:szCs w:val="18"/>
                <w:lang w:val="en-US"/>
              </w:rPr>
              <w:t>Satisfactory</w:t>
            </w:r>
          </w:p>
        </w:tc>
        <w:tc>
          <w:tcPr>
            <w:tcW w:w="1696" w:type="dxa"/>
            <w:vAlign w:val="center"/>
          </w:tcPr>
          <w:p w14:paraId="709DC1CE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2.4</w:t>
            </w:r>
          </w:p>
        </w:tc>
        <w:tc>
          <w:tcPr>
            <w:tcW w:w="1696" w:type="dxa"/>
            <w:vAlign w:val="center"/>
          </w:tcPr>
          <w:p w14:paraId="6F20FD3C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2.4</w:t>
            </w:r>
          </w:p>
        </w:tc>
        <w:tc>
          <w:tcPr>
            <w:tcW w:w="1696" w:type="dxa"/>
            <w:vAlign w:val="center"/>
          </w:tcPr>
          <w:p w14:paraId="5F9FDB4F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2.4</w:t>
            </w:r>
          </w:p>
        </w:tc>
        <w:tc>
          <w:tcPr>
            <w:tcW w:w="1697" w:type="dxa"/>
            <w:vAlign w:val="center"/>
          </w:tcPr>
          <w:p w14:paraId="12AD50ED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3.6</w:t>
            </w:r>
          </w:p>
        </w:tc>
        <w:tc>
          <w:tcPr>
            <w:tcW w:w="1697" w:type="dxa"/>
            <w:vAlign w:val="center"/>
          </w:tcPr>
          <w:p w14:paraId="1E0644CE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1.2</w:t>
            </w:r>
          </w:p>
        </w:tc>
      </w:tr>
      <w:tr w:rsidR="00EF6560" w:rsidRPr="00137E85" w14:paraId="5F7B01DD" w14:textId="77777777" w:rsidTr="00EF6560">
        <w:trPr>
          <w:trHeight w:val="598"/>
          <w:jc w:val="center"/>
        </w:trPr>
        <w:tc>
          <w:tcPr>
            <w:tcW w:w="1696" w:type="dxa"/>
          </w:tcPr>
          <w:p w14:paraId="6119F856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37E85">
              <w:rPr>
                <w:rFonts w:ascii="Cambria" w:hAnsi="Cambria"/>
                <w:b/>
                <w:sz w:val="28"/>
                <w:szCs w:val="28"/>
                <w:lang w:val="en-US"/>
              </w:rPr>
              <w:t>L</w:t>
            </w:r>
          </w:p>
          <w:p w14:paraId="3C58E1F8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37E85">
              <w:rPr>
                <w:rFonts w:ascii="Cambria" w:hAnsi="Cambria"/>
                <w:b/>
                <w:sz w:val="18"/>
                <w:szCs w:val="18"/>
                <w:lang w:val="en-US"/>
              </w:rPr>
              <w:t>Limited</w:t>
            </w:r>
          </w:p>
        </w:tc>
        <w:tc>
          <w:tcPr>
            <w:tcW w:w="1696" w:type="dxa"/>
            <w:vAlign w:val="center"/>
          </w:tcPr>
          <w:p w14:paraId="38E1C20F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1.6</w:t>
            </w:r>
          </w:p>
        </w:tc>
        <w:tc>
          <w:tcPr>
            <w:tcW w:w="1696" w:type="dxa"/>
            <w:vAlign w:val="center"/>
          </w:tcPr>
          <w:p w14:paraId="47DE808E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1.6</w:t>
            </w:r>
          </w:p>
        </w:tc>
        <w:tc>
          <w:tcPr>
            <w:tcW w:w="1696" w:type="dxa"/>
            <w:vAlign w:val="center"/>
          </w:tcPr>
          <w:p w14:paraId="3DF6AFE3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1.6</w:t>
            </w:r>
          </w:p>
        </w:tc>
        <w:tc>
          <w:tcPr>
            <w:tcW w:w="1697" w:type="dxa"/>
            <w:vAlign w:val="center"/>
          </w:tcPr>
          <w:p w14:paraId="3BC66B4F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2.4</w:t>
            </w:r>
          </w:p>
        </w:tc>
        <w:tc>
          <w:tcPr>
            <w:tcW w:w="1697" w:type="dxa"/>
            <w:vAlign w:val="center"/>
          </w:tcPr>
          <w:p w14:paraId="460F995B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0.8</w:t>
            </w:r>
          </w:p>
        </w:tc>
      </w:tr>
      <w:tr w:rsidR="00EF6560" w:rsidRPr="00137E85" w14:paraId="06D8FD57" w14:textId="77777777" w:rsidTr="00EF6560">
        <w:trPr>
          <w:trHeight w:val="581"/>
          <w:jc w:val="center"/>
        </w:trPr>
        <w:tc>
          <w:tcPr>
            <w:tcW w:w="1696" w:type="dxa"/>
          </w:tcPr>
          <w:p w14:paraId="0D0351E8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37E85">
              <w:rPr>
                <w:rFonts w:ascii="Cambria" w:hAnsi="Cambria"/>
                <w:b/>
                <w:sz w:val="28"/>
                <w:szCs w:val="28"/>
                <w:lang w:val="en-US"/>
              </w:rPr>
              <w:t>P</w:t>
            </w:r>
          </w:p>
          <w:p w14:paraId="5369E3DB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37E85">
              <w:rPr>
                <w:rFonts w:ascii="Cambria" w:hAnsi="Cambria"/>
                <w:b/>
                <w:sz w:val="18"/>
                <w:szCs w:val="18"/>
                <w:lang w:val="en-US"/>
              </w:rPr>
              <w:t>Poor</w:t>
            </w:r>
          </w:p>
        </w:tc>
        <w:tc>
          <w:tcPr>
            <w:tcW w:w="1696" w:type="dxa"/>
            <w:vAlign w:val="center"/>
          </w:tcPr>
          <w:p w14:paraId="205739B4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0.8</w:t>
            </w:r>
          </w:p>
        </w:tc>
        <w:tc>
          <w:tcPr>
            <w:tcW w:w="1696" w:type="dxa"/>
            <w:vAlign w:val="center"/>
          </w:tcPr>
          <w:p w14:paraId="4D4D6C81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0.8</w:t>
            </w:r>
          </w:p>
        </w:tc>
        <w:tc>
          <w:tcPr>
            <w:tcW w:w="1696" w:type="dxa"/>
            <w:vAlign w:val="center"/>
          </w:tcPr>
          <w:p w14:paraId="2E4880F5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0.8</w:t>
            </w:r>
          </w:p>
        </w:tc>
        <w:tc>
          <w:tcPr>
            <w:tcW w:w="1697" w:type="dxa"/>
            <w:vAlign w:val="center"/>
          </w:tcPr>
          <w:p w14:paraId="2E8806A7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1.2</w:t>
            </w:r>
          </w:p>
        </w:tc>
        <w:tc>
          <w:tcPr>
            <w:tcW w:w="1697" w:type="dxa"/>
            <w:vAlign w:val="center"/>
          </w:tcPr>
          <w:p w14:paraId="337411BB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0.4</w:t>
            </w:r>
          </w:p>
        </w:tc>
      </w:tr>
      <w:tr w:rsidR="00EF6560" w:rsidRPr="00137E85" w14:paraId="2F67F299" w14:textId="77777777" w:rsidTr="00EF6560">
        <w:trPr>
          <w:trHeight w:val="598"/>
          <w:jc w:val="center"/>
        </w:trPr>
        <w:tc>
          <w:tcPr>
            <w:tcW w:w="1696" w:type="dxa"/>
          </w:tcPr>
          <w:p w14:paraId="4D7BB43E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37E85">
              <w:rPr>
                <w:rFonts w:ascii="Cambria" w:hAnsi="Cambria"/>
                <w:b/>
                <w:sz w:val="28"/>
                <w:szCs w:val="28"/>
                <w:lang w:val="en-US"/>
              </w:rPr>
              <w:t>Z</w:t>
            </w:r>
          </w:p>
          <w:p w14:paraId="1DBE8CDC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37E85">
              <w:rPr>
                <w:rFonts w:ascii="Cambria" w:hAnsi="Cambria"/>
                <w:b/>
                <w:sz w:val="18"/>
                <w:szCs w:val="18"/>
                <w:lang w:val="en-US"/>
              </w:rPr>
              <w:t>Zero</w:t>
            </w:r>
          </w:p>
        </w:tc>
        <w:tc>
          <w:tcPr>
            <w:tcW w:w="1696" w:type="dxa"/>
            <w:vAlign w:val="center"/>
          </w:tcPr>
          <w:p w14:paraId="322EA1B3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0</w:t>
            </w:r>
          </w:p>
        </w:tc>
        <w:tc>
          <w:tcPr>
            <w:tcW w:w="1696" w:type="dxa"/>
            <w:vAlign w:val="center"/>
          </w:tcPr>
          <w:p w14:paraId="41FE1855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0</w:t>
            </w:r>
          </w:p>
        </w:tc>
        <w:tc>
          <w:tcPr>
            <w:tcW w:w="1696" w:type="dxa"/>
            <w:vAlign w:val="center"/>
          </w:tcPr>
          <w:p w14:paraId="4BF85995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0</w:t>
            </w:r>
          </w:p>
        </w:tc>
        <w:tc>
          <w:tcPr>
            <w:tcW w:w="1697" w:type="dxa"/>
            <w:vAlign w:val="center"/>
          </w:tcPr>
          <w:p w14:paraId="119187C4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0</w:t>
            </w:r>
          </w:p>
        </w:tc>
        <w:tc>
          <w:tcPr>
            <w:tcW w:w="1697" w:type="dxa"/>
            <w:vAlign w:val="center"/>
          </w:tcPr>
          <w:p w14:paraId="17122D7E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137E85">
              <w:rPr>
                <w:rFonts w:ascii="Cambria" w:hAnsi="Cambria"/>
                <w:sz w:val="24"/>
                <w:szCs w:val="24"/>
                <w:lang w:val="en-US"/>
              </w:rPr>
              <w:t>0</w:t>
            </w:r>
          </w:p>
        </w:tc>
      </w:tr>
      <w:tr w:rsidR="00EF6560" w:rsidRPr="00137E85" w14:paraId="13610E9D" w14:textId="77777777" w:rsidTr="00EF6560">
        <w:trPr>
          <w:trHeight w:val="365"/>
          <w:jc w:val="center"/>
        </w:trPr>
        <w:tc>
          <w:tcPr>
            <w:tcW w:w="1696" w:type="dxa"/>
            <w:tcBorders>
              <w:left w:val="nil"/>
              <w:bottom w:val="nil"/>
            </w:tcBorders>
          </w:tcPr>
          <w:p w14:paraId="41D2976C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</w:p>
        </w:tc>
        <w:tc>
          <w:tcPr>
            <w:tcW w:w="8482" w:type="dxa"/>
            <w:gridSpan w:val="5"/>
            <w:vAlign w:val="center"/>
          </w:tcPr>
          <w:p w14:paraId="4707DAC8" w14:textId="77777777" w:rsidR="00EF6560" w:rsidRPr="00137E85" w:rsidRDefault="00EF6560" w:rsidP="000C7B02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37E85">
              <w:rPr>
                <w:rFonts w:ascii="Cambria" w:hAnsi="Cambria"/>
                <w:sz w:val="20"/>
                <w:szCs w:val="20"/>
                <w:lang w:val="en-US"/>
              </w:rPr>
              <w:t xml:space="preserve">Zero is assigned to a response that fails to meet the minimum requirements of </w:t>
            </w:r>
            <w:r w:rsidRPr="00137E85">
              <w:rPr>
                <w:rFonts w:ascii="Cambria" w:hAnsi="Cambria"/>
                <w:b/>
                <w:sz w:val="20"/>
                <w:szCs w:val="20"/>
                <w:lang w:val="en-US"/>
              </w:rPr>
              <w:t>Poor</w:t>
            </w:r>
            <w:r w:rsidRPr="00137E85"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</w:tr>
    </w:tbl>
    <w:p w14:paraId="3B04F836" w14:textId="77777777" w:rsidR="00283D38" w:rsidRDefault="00283D38" w:rsidP="006F0106">
      <w:pPr>
        <w:tabs>
          <w:tab w:val="left" w:pos="3409"/>
        </w:tabs>
        <w:rPr>
          <w:rFonts w:cs="Times LT Std"/>
          <w:sz w:val="32"/>
          <w:szCs w:val="32"/>
        </w:rPr>
      </w:pPr>
    </w:p>
    <w:p w14:paraId="48B2F946" w14:textId="77777777" w:rsidR="00283D38" w:rsidRDefault="00283D38" w:rsidP="006F0106">
      <w:pPr>
        <w:tabs>
          <w:tab w:val="left" w:pos="3409"/>
        </w:tabs>
        <w:rPr>
          <w:rFonts w:cs="Times LT Std"/>
          <w:sz w:val="32"/>
          <w:szCs w:val="32"/>
        </w:rPr>
      </w:pPr>
    </w:p>
    <w:p w14:paraId="1B97D97B" w14:textId="6444025A" w:rsidR="00EF6560" w:rsidRPr="006F0106" w:rsidRDefault="006F0106" w:rsidP="00283D38">
      <w:pPr>
        <w:tabs>
          <w:tab w:val="left" w:pos="3409"/>
        </w:tabs>
        <w:rPr>
          <w:rFonts w:cs="Times LT Std"/>
          <w:sz w:val="32"/>
          <w:szCs w:val="32"/>
        </w:rPr>
        <w:sectPr w:rsidR="00EF6560" w:rsidRPr="006F0106" w:rsidSect="009173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797" w:right="1440" w:bottom="1797" w:left="1440" w:header="720" w:footer="720" w:gutter="0"/>
          <w:cols w:space="720"/>
          <w:noEndnote/>
        </w:sectPr>
      </w:pPr>
      <w:r w:rsidRPr="006F0106">
        <w:rPr>
          <w:rFonts w:cs="Times LT Std"/>
          <w:sz w:val="32"/>
          <w:szCs w:val="32"/>
        </w:rPr>
        <w:t>Comments:</w:t>
      </w:r>
      <w:r>
        <w:rPr>
          <w:rFonts w:cs="Times LT Std"/>
          <w:sz w:val="32"/>
          <w:szCs w:val="32"/>
        </w:rPr>
        <w:t xml:space="preserve">       </w:t>
      </w:r>
      <w:r w:rsidR="00283D38">
        <w:rPr>
          <w:rFonts w:cs="Times LT Std"/>
          <w:sz w:val="32"/>
          <w:szCs w:val="32"/>
        </w:rPr>
        <w:t xml:space="preserve">                                                                                                                       </w:t>
      </w:r>
      <w:r>
        <w:rPr>
          <w:rFonts w:cs="Times LT Std"/>
          <w:sz w:val="32"/>
          <w:szCs w:val="32"/>
        </w:rPr>
        <w:t xml:space="preserve">  </w:t>
      </w:r>
      <w:r w:rsidR="00283D38">
        <w:rPr>
          <w:rFonts w:cs="Times LT Std"/>
          <w:sz w:val="32"/>
          <w:szCs w:val="32"/>
        </w:rPr>
        <w:t>/20</w:t>
      </w:r>
      <w:r>
        <w:rPr>
          <w:rFonts w:cs="Times LT Std"/>
          <w:sz w:val="32"/>
          <w:szCs w:val="32"/>
        </w:rPr>
        <w:t xml:space="preserve">                                                                                  </w:t>
      </w:r>
      <w:r w:rsidR="00283D38">
        <w:rPr>
          <w:rFonts w:cs="Times LT Std"/>
          <w:sz w:val="32"/>
          <w:szCs w:val="32"/>
        </w:rPr>
        <w:t xml:space="preserve">                    </w:t>
      </w:r>
    </w:p>
    <w:p w14:paraId="123ECE03" w14:textId="478B45FC" w:rsidR="00EF6560" w:rsidRPr="00283D38" w:rsidRDefault="00EF6560" w:rsidP="00283D38">
      <w:pPr>
        <w:tabs>
          <w:tab w:val="left" w:pos="3828"/>
        </w:tabs>
      </w:pPr>
    </w:p>
    <w:sectPr w:rsidR="00EF6560" w:rsidRPr="00283D38" w:rsidSect="00456239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26F10" w14:textId="77777777" w:rsidR="00D74635" w:rsidRDefault="00D74635" w:rsidP="000C7B02">
      <w:pPr>
        <w:pStyle w:val="Pa19"/>
      </w:pPr>
      <w:r>
        <w:separator/>
      </w:r>
    </w:p>
  </w:endnote>
  <w:endnote w:type="continuationSeparator" w:id="0">
    <w:p w14:paraId="062ECE93" w14:textId="77777777" w:rsidR="00D74635" w:rsidRDefault="00D74635" w:rsidP="000C7B02">
      <w:pPr>
        <w:pStyle w:val="Pa1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LT St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67BAB" w14:textId="77777777" w:rsidR="00456254" w:rsidRDefault="00456254" w:rsidP="00CF4C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734DD3" w14:textId="77777777" w:rsidR="00456254" w:rsidRDefault="00456254" w:rsidP="00781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DB619" w14:textId="77777777" w:rsidR="00456254" w:rsidRDefault="00456254" w:rsidP="00CF4C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A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1FC60E" w14:textId="77777777" w:rsidR="00456254" w:rsidRDefault="004562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50841" w14:textId="77777777" w:rsidR="004C1AF4" w:rsidRDefault="004C1A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91A68" w14:textId="77777777" w:rsidR="00D74635" w:rsidRDefault="00D74635" w:rsidP="000C7B02">
      <w:pPr>
        <w:pStyle w:val="Pa19"/>
      </w:pPr>
      <w:r>
        <w:separator/>
      </w:r>
    </w:p>
  </w:footnote>
  <w:footnote w:type="continuationSeparator" w:id="0">
    <w:p w14:paraId="127BD352" w14:textId="77777777" w:rsidR="00D74635" w:rsidRDefault="00D74635" w:rsidP="000C7B02">
      <w:pPr>
        <w:pStyle w:val="Pa1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BBCF4" w14:textId="77777777" w:rsidR="004C1AF4" w:rsidRDefault="004C1A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DAAFD" w14:textId="7BEBA151" w:rsidR="00456254" w:rsidRDefault="00456254" w:rsidP="00917304">
    <w:pPr>
      <w:pStyle w:val="Pa1"/>
      <w:rPr>
        <w:rFonts w:cs="Times LT Std"/>
        <w:color w:val="000000"/>
        <w:sz w:val="22"/>
        <w:szCs w:val="22"/>
      </w:rPr>
    </w:pPr>
    <w:r>
      <w:rPr>
        <w:rFonts w:cs="Times LT Std"/>
        <w:b/>
        <w:bCs/>
        <w:color w:val="000000"/>
        <w:sz w:val="22"/>
        <w:szCs w:val="22"/>
      </w:rPr>
      <w:t>Scoring Categories and Scoring Criteria for Assignment I</w:t>
    </w:r>
    <w:r w:rsidR="00962BF5">
      <w:rPr>
        <w:rFonts w:cs="Times LT Std"/>
        <w:b/>
        <w:bCs/>
        <w:color w:val="000000"/>
        <w:sz w:val="22"/>
        <w:szCs w:val="22"/>
      </w:rPr>
      <w:t xml:space="preserve"> (Source Analysis)</w:t>
    </w:r>
    <w:r w:rsidR="00962BF5">
      <w:rPr>
        <w:rFonts w:cs="Times LT Std"/>
        <w:b/>
        <w:bCs/>
        <w:color w:val="000000"/>
        <w:sz w:val="22"/>
        <w:szCs w:val="22"/>
      </w:rPr>
      <w:tab/>
    </w:r>
    <w:r w:rsidR="00962BF5">
      <w:rPr>
        <w:rFonts w:cs="Times LT Std"/>
        <w:b/>
        <w:bCs/>
        <w:color w:val="000000"/>
        <w:sz w:val="22"/>
        <w:szCs w:val="22"/>
      </w:rPr>
      <w:tab/>
    </w:r>
    <w:r w:rsidR="00962BF5">
      <w:rPr>
        <w:rFonts w:cs="Times LT Std"/>
        <w:b/>
        <w:bCs/>
        <w:color w:val="000000"/>
        <w:sz w:val="22"/>
        <w:szCs w:val="22"/>
      </w:rPr>
      <w:tab/>
    </w:r>
    <w:r w:rsidR="00962BF5">
      <w:rPr>
        <w:rFonts w:cs="Times LT Std"/>
        <w:b/>
        <w:bCs/>
        <w:color w:val="000000"/>
        <w:sz w:val="22"/>
        <w:szCs w:val="22"/>
      </w:rPr>
      <w:tab/>
      <w:t>Social 1</w:t>
    </w:r>
    <w:r>
      <w:rPr>
        <w:rFonts w:cs="Times LT Std"/>
        <w:b/>
        <w:bCs/>
        <w:color w:val="000000"/>
        <w:sz w:val="22"/>
        <w:szCs w:val="22"/>
      </w:rPr>
      <w:t>0-1</w:t>
    </w:r>
    <w:r w:rsidR="004C1AF4">
      <w:rPr>
        <w:rFonts w:cs="Times LT Std"/>
        <w:b/>
        <w:bCs/>
        <w:color w:val="000000"/>
        <w:sz w:val="22"/>
        <w:szCs w:val="22"/>
      </w:rPr>
      <w:t>/20-1/30-1</w:t>
    </w:r>
    <w:bookmarkStart w:id="0" w:name="_GoBack"/>
    <w:bookmarkEnd w:id="0"/>
  </w:p>
  <w:p w14:paraId="08E587C7" w14:textId="77777777" w:rsidR="00456254" w:rsidRDefault="0045625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0D9F" w14:textId="77777777" w:rsidR="004C1AF4" w:rsidRDefault="004C1A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F0B39"/>
    <w:multiLevelType w:val="hybridMultilevel"/>
    <w:tmpl w:val="DFC29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358C9"/>
    <w:multiLevelType w:val="hybridMultilevel"/>
    <w:tmpl w:val="4CBE83B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F44"/>
    <w:rsid w:val="000C7B02"/>
    <w:rsid w:val="001340BD"/>
    <w:rsid w:val="002456D2"/>
    <w:rsid w:val="00283D38"/>
    <w:rsid w:val="002870C3"/>
    <w:rsid w:val="002B79FF"/>
    <w:rsid w:val="002D7E43"/>
    <w:rsid w:val="00301B75"/>
    <w:rsid w:val="00306015"/>
    <w:rsid w:val="003A582C"/>
    <w:rsid w:val="00456239"/>
    <w:rsid w:val="00456254"/>
    <w:rsid w:val="00480610"/>
    <w:rsid w:val="004C1AF4"/>
    <w:rsid w:val="00672838"/>
    <w:rsid w:val="006D6929"/>
    <w:rsid w:val="006F0106"/>
    <w:rsid w:val="00727F6A"/>
    <w:rsid w:val="007703C8"/>
    <w:rsid w:val="007819E7"/>
    <w:rsid w:val="008A3B44"/>
    <w:rsid w:val="00917304"/>
    <w:rsid w:val="00962BF5"/>
    <w:rsid w:val="009C7897"/>
    <w:rsid w:val="00A63953"/>
    <w:rsid w:val="00AE384C"/>
    <w:rsid w:val="00B07914"/>
    <w:rsid w:val="00B43333"/>
    <w:rsid w:val="00C05725"/>
    <w:rsid w:val="00C75C22"/>
    <w:rsid w:val="00CF4CAC"/>
    <w:rsid w:val="00D01CE9"/>
    <w:rsid w:val="00D74635"/>
    <w:rsid w:val="00DC3550"/>
    <w:rsid w:val="00E013F2"/>
    <w:rsid w:val="00E17F44"/>
    <w:rsid w:val="00E81883"/>
    <w:rsid w:val="00EB6B72"/>
    <w:rsid w:val="00EF6560"/>
    <w:rsid w:val="00F6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70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C789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7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7F44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</w:rPr>
  </w:style>
  <w:style w:type="paragraph" w:customStyle="1" w:styleId="Pa19">
    <w:name w:val="Pa19"/>
    <w:basedOn w:val="Default"/>
    <w:next w:val="Default"/>
    <w:rsid w:val="00E17F44"/>
    <w:pPr>
      <w:spacing w:line="181" w:lineRule="atLeast"/>
    </w:pPr>
    <w:rPr>
      <w:rFonts w:cs="Times New Roman"/>
      <w:color w:val="auto"/>
    </w:rPr>
  </w:style>
  <w:style w:type="character" w:customStyle="1" w:styleId="A0">
    <w:name w:val="A0"/>
    <w:rsid w:val="00E17F44"/>
    <w:rPr>
      <w:rFonts w:cs="Times LT Std"/>
      <w:color w:val="000000"/>
      <w:sz w:val="22"/>
      <w:szCs w:val="22"/>
    </w:rPr>
  </w:style>
  <w:style w:type="paragraph" w:customStyle="1" w:styleId="Pa20">
    <w:name w:val="Pa20"/>
    <w:basedOn w:val="Default"/>
    <w:next w:val="Default"/>
    <w:rsid w:val="00E17F44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E17F44"/>
    <w:pPr>
      <w:spacing w:line="22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rsid w:val="00E17F44"/>
    <w:pPr>
      <w:spacing w:line="52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456239"/>
    <w:pPr>
      <w:spacing w:line="221" w:lineRule="atLeast"/>
    </w:pPr>
    <w:rPr>
      <w:rFonts w:cs="Times New Roman"/>
      <w:color w:val="auto"/>
    </w:rPr>
  </w:style>
  <w:style w:type="paragraph" w:styleId="Header">
    <w:name w:val="header"/>
    <w:basedOn w:val="Normal"/>
    <w:rsid w:val="009173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7304"/>
    <w:pPr>
      <w:tabs>
        <w:tab w:val="center" w:pos="4320"/>
        <w:tab w:val="right" w:pos="8640"/>
      </w:tabs>
    </w:pPr>
  </w:style>
  <w:style w:type="paragraph" w:styleId="NoSpacing">
    <w:name w:val="No Spacing"/>
    <w:qFormat/>
    <w:rsid w:val="00EF6560"/>
    <w:rPr>
      <w:rFonts w:ascii="Calibri" w:hAnsi="Calibri"/>
      <w:sz w:val="22"/>
      <w:szCs w:val="22"/>
      <w:lang w:val="fr-CA"/>
    </w:rPr>
  </w:style>
  <w:style w:type="character" w:styleId="Hyperlink">
    <w:name w:val="Hyperlink"/>
    <w:basedOn w:val="DefaultParagraphFont"/>
    <w:rsid w:val="00EF656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EF6560"/>
    <w:rPr>
      <w:color w:val="800080"/>
      <w:u w:val="single"/>
    </w:rPr>
  </w:style>
  <w:style w:type="paragraph" w:styleId="BodyText">
    <w:name w:val="Body Text"/>
    <w:basedOn w:val="Normal"/>
    <w:rsid w:val="00A63953"/>
    <w:pPr>
      <w:widowControl w:val="0"/>
      <w:suppressAutoHyphens/>
      <w:spacing w:after="120"/>
    </w:pPr>
    <w:rPr>
      <w:rFonts w:eastAsia="Lucida Sans Unicode"/>
    </w:rPr>
  </w:style>
  <w:style w:type="paragraph" w:styleId="z-TopofForm">
    <w:name w:val="HTML Top of Form"/>
    <w:basedOn w:val="Normal"/>
    <w:next w:val="Normal"/>
    <w:hidden/>
    <w:rsid w:val="00A639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ageNumber">
    <w:name w:val="page number"/>
    <w:basedOn w:val="DefaultParagraphFont"/>
    <w:rsid w:val="007819E7"/>
  </w:style>
  <w:style w:type="paragraph" w:styleId="BalloonText">
    <w:name w:val="Balloon Text"/>
    <w:basedOn w:val="Normal"/>
    <w:link w:val="BalloonTextChar"/>
    <w:rsid w:val="00672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688</Words>
  <Characters>3925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INTERPRETATION OF SOURCES (12 marks)</vt:lpstr>
    </vt:vector>
  </TitlesOfParts>
  <Company>epsb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INTERPRETATION OF SOURCES (12 marks)</dc:title>
  <dc:subject/>
  <dc:creator>TRUDY</dc:creator>
  <cp:keywords/>
  <dc:description/>
  <cp:lastModifiedBy>Winni Gill</cp:lastModifiedBy>
  <cp:revision>5</cp:revision>
  <cp:lastPrinted>2018-03-04T20:22:00Z</cp:lastPrinted>
  <dcterms:created xsi:type="dcterms:W3CDTF">2018-03-04T20:22:00Z</dcterms:created>
  <dcterms:modified xsi:type="dcterms:W3CDTF">2018-03-18T03:25:00Z</dcterms:modified>
</cp:coreProperties>
</file>